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6D81A314" w:rsidR="00BF59D0" w:rsidRPr="00953CBE" w:rsidRDefault="00570ED1" w:rsidP="007843AE">
      <w:pPr>
        <w:pStyle w:val="Podnadpis"/>
        <w:rPr>
          <w:rFonts w:asciiTheme="minorHAnsi" w:hAnsiTheme="minorHAnsi" w:cstheme="minorHAnsi"/>
          <w:caps/>
          <w:sz w:val="36"/>
          <w:szCs w:val="36"/>
        </w:rPr>
      </w:pPr>
      <w:proofErr w:type="gramStart"/>
      <w:r>
        <w:rPr>
          <w:rFonts w:asciiTheme="minorHAnsi" w:hAnsiTheme="minorHAnsi" w:cstheme="minorHAnsi"/>
          <w:caps/>
          <w:sz w:val="36"/>
          <w:szCs w:val="36"/>
        </w:rPr>
        <w:t xml:space="preserve">NÁVRH - </w:t>
      </w:r>
      <w:r w:rsidR="00BF59D0" w:rsidRPr="00E83461">
        <w:rPr>
          <w:rFonts w:asciiTheme="minorHAnsi" w:hAnsiTheme="minorHAnsi" w:cstheme="minorHAnsi"/>
          <w:caps/>
          <w:sz w:val="36"/>
          <w:szCs w:val="36"/>
        </w:rPr>
        <w:t>kupní</w:t>
      </w:r>
      <w:proofErr w:type="gramEnd"/>
      <w:r w:rsidR="00BF59D0" w:rsidRPr="00E83461">
        <w:rPr>
          <w:rFonts w:asciiTheme="minorHAnsi" w:hAnsiTheme="minorHAnsi" w:cstheme="minorHAnsi"/>
          <w:caps/>
          <w:sz w:val="36"/>
          <w:szCs w:val="36"/>
        </w:rPr>
        <w:t xml:space="preserve"> </w:t>
      </w:r>
      <w:r w:rsidR="00BF59D0"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F1428A" w:rsidRPr="00F1428A">
        <w:rPr>
          <w:rFonts w:asciiTheme="minorHAnsi" w:hAnsiTheme="minorHAnsi" w:cstheme="minorHAnsi"/>
          <w:caps/>
          <w:sz w:val="36"/>
          <w:szCs w:val="36"/>
          <w:highlight w:val="yellow"/>
        </w:rPr>
        <w:t>x</w:t>
      </w:r>
      <w:r w:rsidR="00E83461">
        <w:rPr>
          <w:rFonts w:asciiTheme="minorHAnsi" w:hAnsiTheme="minorHAnsi" w:cstheme="minorHAnsi"/>
          <w:caps/>
          <w:sz w:val="36"/>
          <w:szCs w:val="36"/>
        </w:rPr>
        <w:t>/202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737F509D"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DF16A1">
        <w:rPr>
          <w:rFonts w:asciiTheme="minorHAnsi" w:hAnsiTheme="minorHAnsi" w:cstheme="minorHAnsi"/>
        </w:rPr>
        <w:t xml:space="preserve">Volgogradská </w:t>
      </w:r>
      <w:proofErr w:type="gramStart"/>
      <w:r w:rsidR="00DF16A1">
        <w:rPr>
          <w:rFonts w:asciiTheme="minorHAnsi" w:hAnsiTheme="minorHAnsi" w:cstheme="minorHAnsi"/>
        </w:rPr>
        <w:t>6a</w:t>
      </w:r>
      <w:proofErr w:type="gramEnd"/>
      <w:r w:rsidR="00DF16A1">
        <w:rPr>
          <w:rFonts w:asciiTheme="minorHAnsi" w:hAnsiTheme="minorHAnsi" w:cstheme="minorHAnsi"/>
        </w:rPr>
        <w:t>,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7BEF084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06B3013B"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2730EB" w:rsidRPr="002730EB">
        <w:rPr>
          <w:rFonts w:asciiTheme="minorHAnsi" w:hAnsiTheme="minorHAnsi" w:cstheme="minorHAnsi"/>
        </w:rPr>
        <w:t>17039761/0100</w:t>
      </w:r>
      <w:r w:rsidRPr="00953CBE">
        <w:rPr>
          <w:rFonts w:asciiTheme="minorHAnsi" w:hAnsiTheme="minorHAnsi" w:cstheme="minorHAnsi"/>
        </w:rPr>
        <w:tab/>
      </w:r>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6E0C4A83" w14:textId="77777777" w:rsidR="00490974" w:rsidRPr="00F9529F" w:rsidRDefault="00490974" w:rsidP="00490974">
      <w:pPr>
        <w:tabs>
          <w:tab w:val="left" w:pos="426"/>
        </w:tabs>
        <w:spacing w:after="120"/>
        <w:jc w:val="both"/>
        <w:rPr>
          <w:rFonts w:asciiTheme="minorHAnsi" w:hAnsiTheme="minorHAnsi" w:cstheme="minorHAnsi"/>
          <w:i/>
          <w:color w:val="FF0000"/>
        </w:rPr>
      </w:pPr>
      <w:r w:rsidRPr="00F9529F">
        <w:rPr>
          <w:rFonts w:asciiTheme="minorHAnsi" w:hAnsiTheme="minorHAnsi" w:cstheme="minorHAnsi"/>
          <w:b/>
          <w:i/>
          <w:iCs/>
          <w:color w:val="FF0000"/>
        </w:rPr>
        <w:t>VARIANTA A</w:t>
      </w:r>
      <w:r w:rsidRPr="00F9529F">
        <w:rPr>
          <w:rFonts w:asciiTheme="minorHAnsi" w:hAnsiTheme="minorHAnsi" w:cstheme="minorHAnsi"/>
          <w:b/>
          <w:color w:val="FF0000"/>
        </w:rPr>
        <w:t xml:space="preserve"> </w:t>
      </w:r>
      <w:r w:rsidRPr="00F9529F">
        <w:rPr>
          <w:rFonts w:asciiTheme="minorHAnsi" w:hAnsiTheme="minorHAnsi" w:cstheme="minorHAnsi"/>
          <w:i/>
          <w:color w:val="FF0000"/>
        </w:rPr>
        <w:t>(pro právnickou osobu nebo fyzickou osobu zapsanou v obchodním rejstříku, údaje na řádcích 1-4 se vyplní dle výpisu z obchodního rejstříku):</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06C5F1C7" w:rsidR="00953CBE" w:rsidRPr="00570ED1" w:rsidRDefault="00490974" w:rsidP="00F7789E">
      <w:pPr>
        <w:numPr>
          <w:ilvl w:val="0"/>
          <w:numId w:val="4"/>
        </w:numPr>
        <w:tabs>
          <w:tab w:val="clear" w:pos="720"/>
          <w:tab w:val="num" w:pos="360"/>
        </w:tabs>
        <w:spacing w:after="60"/>
        <w:ind w:hanging="720"/>
        <w:jc w:val="both"/>
        <w:rPr>
          <w:rFonts w:asciiTheme="minorHAnsi" w:hAnsiTheme="minorHAnsi" w:cstheme="minorHAnsi"/>
        </w:rPr>
      </w:pPr>
      <w:r w:rsidRPr="00570ED1">
        <w:rPr>
          <w:rFonts w:asciiTheme="minorHAnsi" w:hAnsiTheme="minorHAnsi" w:cstheme="minorHAnsi"/>
          <w:b/>
        </w:rPr>
        <w:t xml:space="preserve">Obchodní firma </w:t>
      </w:r>
      <w:r w:rsidR="00953CBE" w:rsidRPr="00570ED1">
        <w:rPr>
          <w:rFonts w:asciiTheme="minorHAnsi" w:hAnsiTheme="minorHAnsi" w:cstheme="minorHAnsi"/>
          <w:b/>
        </w:rPr>
        <w:t>…………</w:t>
      </w:r>
      <w:proofErr w:type="gramStart"/>
      <w:r w:rsidR="00953CBE" w:rsidRPr="00570ED1">
        <w:rPr>
          <w:rFonts w:asciiTheme="minorHAnsi" w:hAnsiTheme="minorHAnsi" w:cstheme="minorHAnsi"/>
          <w:b/>
        </w:rPr>
        <w:t>…….</w:t>
      </w:r>
      <w:proofErr w:type="gramEnd"/>
      <w:r w:rsidR="00953CBE" w:rsidRPr="00570ED1">
        <w:rPr>
          <w:rFonts w:asciiTheme="minorHAnsi" w:hAnsiTheme="minorHAnsi" w:cstheme="minorHAnsi"/>
          <w:b/>
        </w:rPr>
        <w:t>.</w:t>
      </w:r>
    </w:p>
    <w:p w14:paraId="6107A170"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7CC93FE4"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4FA517D8"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0B90A9CA"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47CE6893"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548EA019" w14:textId="77777777"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7EA0D0F8" w14:textId="676F99CD"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Zapsána</w:t>
      </w:r>
      <w:r w:rsidR="00F43512" w:rsidRPr="00570ED1">
        <w:rPr>
          <w:rFonts w:asciiTheme="minorHAnsi" w:hAnsiTheme="minorHAnsi" w:cstheme="minorHAnsi"/>
        </w:rPr>
        <w:t xml:space="preserve"> v </w:t>
      </w:r>
      <w:r w:rsidRPr="00570ED1">
        <w:rPr>
          <w:rFonts w:asciiTheme="minorHAnsi" w:hAnsiTheme="minorHAnsi" w:cstheme="minorHAnsi"/>
        </w:rPr>
        <w:t>obchodním rejstříku vedeném …</w:t>
      </w:r>
      <w:proofErr w:type="gramStart"/>
      <w:r w:rsidRPr="00570ED1">
        <w:rPr>
          <w:rFonts w:asciiTheme="minorHAnsi" w:hAnsiTheme="minorHAnsi" w:cstheme="minorHAnsi"/>
        </w:rPr>
        <w:t>…….</w:t>
      </w:r>
      <w:proofErr w:type="gramEnd"/>
      <w:r w:rsidRPr="00570ED1">
        <w:rPr>
          <w:rFonts w:asciiTheme="minorHAnsi" w:hAnsiTheme="minorHAnsi" w:cstheme="minorHAnsi"/>
        </w:rPr>
        <w:t>. soudem</w:t>
      </w:r>
      <w:r w:rsidR="00F43512" w:rsidRPr="00570ED1">
        <w:rPr>
          <w:rFonts w:asciiTheme="minorHAnsi" w:hAnsiTheme="minorHAnsi" w:cstheme="minorHAnsi"/>
        </w:rPr>
        <w:t xml:space="preserve"> v </w:t>
      </w:r>
      <w:proofErr w:type="gramStart"/>
      <w:r w:rsidRPr="00570ED1">
        <w:rPr>
          <w:rFonts w:asciiTheme="minorHAnsi" w:hAnsiTheme="minorHAnsi" w:cstheme="minorHAnsi"/>
        </w:rPr>
        <w:t>… ,</w:t>
      </w:r>
      <w:proofErr w:type="gramEnd"/>
      <w:r w:rsidRPr="00570ED1">
        <w:rPr>
          <w:rFonts w:asciiTheme="minorHAnsi" w:hAnsiTheme="minorHAnsi" w:cstheme="minorHAnsi"/>
        </w:rPr>
        <w:t xml:space="preserve"> oddíl …, vložka …</w:t>
      </w:r>
    </w:p>
    <w:p w14:paraId="7A7DBDE4" w14:textId="77777777" w:rsidR="00953CBE" w:rsidRPr="00570ED1" w:rsidRDefault="00953CBE" w:rsidP="00953CBE">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44EAC126" w14:textId="77777777" w:rsidR="00220969" w:rsidRDefault="00953CBE" w:rsidP="00953CBE">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7D00A93D" w14:textId="77777777" w:rsidR="00220969" w:rsidRPr="00953CBE" w:rsidRDefault="00220969" w:rsidP="00220969">
      <w:pPr>
        <w:ind w:firstLine="360"/>
        <w:jc w:val="both"/>
        <w:rPr>
          <w:rFonts w:asciiTheme="minorHAnsi" w:hAnsiTheme="minorHAnsi" w:cstheme="minorHAnsi"/>
        </w:rPr>
      </w:pPr>
      <w:r>
        <w:rPr>
          <w:rFonts w:asciiTheme="minorHAnsi" w:hAnsiTheme="minorHAnsi" w:cstheme="minorHAnsi"/>
        </w:rPr>
        <w:t xml:space="preserve">Plátce / neplátce DPH </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3825ECA3" w:rsidR="00953CBE" w:rsidRDefault="00953CBE" w:rsidP="00953CBE">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21F40275" w14:textId="290F02CB" w:rsidR="00490974" w:rsidRDefault="00490974" w:rsidP="00953CBE">
      <w:pPr>
        <w:tabs>
          <w:tab w:val="left" w:pos="360"/>
          <w:tab w:val="left" w:pos="2268"/>
        </w:tabs>
        <w:ind w:left="357"/>
        <w:rPr>
          <w:rFonts w:asciiTheme="minorHAnsi" w:hAnsiTheme="minorHAnsi" w:cstheme="minorHAnsi"/>
          <w:iCs/>
        </w:rPr>
      </w:pPr>
    </w:p>
    <w:p w14:paraId="33E06E0F" w14:textId="77777777" w:rsidR="00490974" w:rsidRPr="00F9529F" w:rsidRDefault="00490974" w:rsidP="00490974">
      <w:pPr>
        <w:tabs>
          <w:tab w:val="left" w:pos="426"/>
        </w:tabs>
        <w:spacing w:before="240" w:after="120"/>
        <w:jc w:val="both"/>
        <w:rPr>
          <w:rFonts w:asciiTheme="minorHAnsi" w:hAnsiTheme="minorHAnsi" w:cstheme="minorHAnsi"/>
          <w:i/>
          <w:color w:val="FF0000"/>
        </w:rPr>
      </w:pPr>
      <w:r w:rsidRPr="00F9529F">
        <w:rPr>
          <w:rFonts w:asciiTheme="minorHAnsi" w:hAnsiTheme="minorHAnsi" w:cstheme="minorHAnsi"/>
          <w:b/>
          <w:i/>
          <w:iCs/>
          <w:color w:val="FF0000"/>
        </w:rPr>
        <w:t>VARIANTA B</w:t>
      </w:r>
      <w:r w:rsidRPr="00F9529F">
        <w:rPr>
          <w:rFonts w:asciiTheme="minorHAnsi" w:hAnsiTheme="minorHAnsi" w:cstheme="minorHAnsi"/>
          <w:b/>
          <w:color w:val="FF0000"/>
        </w:rPr>
        <w:t xml:space="preserve"> </w:t>
      </w:r>
      <w:r w:rsidRPr="00F9529F">
        <w:rPr>
          <w:rFonts w:asciiTheme="minorHAnsi" w:hAnsiTheme="minorHAnsi" w:cstheme="minorHAnsi"/>
          <w:i/>
          <w:color w:val="FF0000"/>
        </w:rPr>
        <w:t xml:space="preserve">(pro </w:t>
      </w:r>
      <w:proofErr w:type="gramStart"/>
      <w:r w:rsidRPr="00F9529F">
        <w:rPr>
          <w:rFonts w:asciiTheme="minorHAnsi" w:hAnsiTheme="minorHAnsi" w:cstheme="minorHAnsi"/>
          <w:i/>
          <w:color w:val="FF0000"/>
        </w:rPr>
        <w:t>podnikatele - fyzickou</w:t>
      </w:r>
      <w:proofErr w:type="gramEnd"/>
      <w:r w:rsidRPr="00F9529F">
        <w:rPr>
          <w:rFonts w:asciiTheme="minorHAnsi" w:hAnsiTheme="minorHAnsi" w:cstheme="minorHAnsi"/>
          <w:i/>
          <w:color w:val="FF0000"/>
        </w:rPr>
        <w:t xml:space="preserve"> osobu nezapsanou v obchodním rejstříku, údaje na řádcích 1-4 se vyplní podle živnostenského listu):</w:t>
      </w:r>
    </w:p>
    <w:p w14:paraId="7B7AB234" w14:textId="3145F489" w:rsidR="00490974" w:rsidRPr="00570ED1" w:rsidRDefault="00490974" w:rsidP="00F7789E">
      <w:pPr>
        <w:numPr>
          <w:ilvl w:val="0"/>
          <w:numId w:val="9"/>
        </w:numPr>
        <w:tabs>
          <w:tab w:val="clear" w:pos="720"/>
          <w:tab w:val="left" w:pos="426"/>
        </w:tabs>
        <w:spacing w:after="60"/>
        <w:ind w:left="0" w:hanging="11"/>
        <w:jc w:val="both"/>
        <w:rPr>
          <w:rFonts w:asciiTheme="minorHAnsi" w:hAnsiTheme="minorHAnsi" w:cstheme="minorHAnsi"/>
        </w:rPr>
      </w:pPr>
      <w:r w:rsidRPr="00570ED1">
        <w:rPr>
          <w:rFonts w:asciiTheme="minorHAnsi" w:hAnsiTheme="minorHAnsi" w:cstheme="minorHAnsi"/>
          <w:b/>
        </w:rPr>
        <w:t>Jméno a příjmení …………</w:t>
      </w:r>
      <w:proofErr w:type="gramStart"/>
      <w:r w:rsidRPr="00570ED1">
        <w:rPr>
          <w:rFonts w:asciiTheme="minorHAnsi" w:hAnsiTheme="minorHAnsi" w:cstheme="minorHAnsi"/>
          <w:b/>
        </w:rPr>
        <w:t>…….</w:t>
      </w:r>
      <w:proofErr w:type="gramEnd"/>
      <w:r w:rsidRPr="00570ED1">
        <w:rPr>
          <w:rFonts w:asciiTheme="minorHAnsi" w:hAnsiTheme="minorHAnsi" w:cstheme="minorHAnsi"/>
          <w:b/>
        </w:rPr>
        <w:t>.</w:t>
      </w:r>
    </w:p>
    <w:p w14:paraId="48F50349" w14:textId="26592720"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podnikající pod </w:t>
      </w:r>
      <w:proofErr w:type="gramStart"/>
      <w:r w:rsidRPr="00570ED1">
        <w:rPr>
          <w:rFonts w:asciiTheme="minorHAnsi" w:hAnsiTheme="minorHAnsi" w:cstheme="minorHAnsi"/>
        </w:rPr>
        <w:t>jménem:…</w:t>
      </w:r>
      <w:proofErr w:type="gramEnd"/>
      <w:r w:rsidRPr="00570ED1">
        <w:rPr>
          <w:rFonts w:asciiTheme="minorHAnsi" w:hAnsiTheme="minorHAnsi" w:cstheme="minorHAnsi"/>
        </w:rPr>
        <w:t>…………………………</w:t>
      </w:r>
    </w:p>
    <w:p w14:paraId="2D135D44" w14:textId="63C2F319"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Se sídlem: …………</w:t>
      </w:r>
    </w:p>
    <w:p w14:paraId="5AEDD497"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Zastoupena: …………</w:t>
      </w:r>
    </w:p>
    <w:p w14:paraId="71018B5B"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IČO: …………</w:t>
      </w:r>
    </w:p>
    <w:p w14:paraId="634C0E7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DIČ: …………</w:t>
      </w:r>
    </w:p>
    <w:p w14:paraId="77D4583A" w14:textId="77777777"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Bankovní spojení: …………</w:t>
      </w:r>
    </w:p>
    <w:p w14:paraId="28499737" w14:textId="77777777" w:rsidR="00490974" w:rsidRPr="00953CBE"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Číslo účtu: …………</w:t>
      </w:r>
    </w:p>
    <w:p w14:paraId="2A3AF36C" w14:textId="42988595" w:rsidR="00490974" w:rsidRPr="00570ED1" w:rsidRDefault="00490974" w:rsidP="00490974">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lastRenderedPageBreak/>
        <w:t>Zapsána v ………………………………</w:t>
      </w:r>
      <w:proofErr w:type="gramStart"/>
      <w:r w:rsidRPr="00570ED1">
        <w:rPr>
          <w:rFonts w:asciiTheme="minorHAnsi" w:hAnsiTheme="minorHAnsi" w:cstheme="minorHAnsi"/>
        </w:rPr>
        <w:t>…….</w:t>
      </w:r>
      <w:proofErr w:type="gramEnd"/>
      <w:r w:rsidRPr="00570ED1">
        <w:rPr>
          <w:rFonts w:asciiTheme="minorHAnsi" w:hAnsiTheme="minorHAnsi" w:cstheme="minorHAnsi"/>
        </w:rPr>
        <w:t>. vedené …</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w:t>
      </w:r>
      <w:r w:rsidR="00616BDF" w:rsidRPr="00570ED1">
        <w:rPr>
          <w:rFonts w:asciiTheme="minorHAnsi" w:hAnsiTheme="minorHAnsi" w:cstheme="minorHAnsi"/>
          <w:i/>
          <w:color w:val="FF0000"/>
        </w:rPr>
        <w:t>(doplňte údaj o evidenci, ve které je daná osoba zapsána)</w:t>
      </w:r>
    </w:p>
    <w:p w14:paraId="329932ED" w14:textId="77777777" w:rsidR="00490974" w:rsidRPr="00570ED1" w:rsidRDefault="00490974" w:rsidP="00490974">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p>
    <w:p w14:paraId="3A438CE2" w14:textId="77777777" w:rsidR="00490974" w:rsidRDefault="00490974" w:rsidP="00490974">
      <w:pPr>
        <w:tabs>
          <w:tab w:val="left" w:pos="360"/>
          <w:tab w:val="left" w:pos="2268"/>
        </w:tabs>
        <w:ind w:left="357"/>
        <w:rPr>
          <w:rFonts w:asciiTheme="minorHAnsi" w:hAnsiTheme="minorHAnsi" w:cstheme="minorHAnsi"/>
        </w:rPr>
      </w:pPr>
      <w:r w:rsidRPr="00570ED1">
        <w:rPr>
          <w:rFonts w:asciiTheme="minorHAnsi" w:hAnsiTheme="minorHAnsi" w:cstheme="minorHAnsi"/>
        </w:rPr>
        <w:t>………………………………………</w:t>
      </w:r>
      <w:proofErr w:type="gramStart"/>
      <w:r w:rsidRPr="00570ED1">
        <w:rPr>
          <w:rFonts w:asciiTheme="minorHAnsi" w:hAnsiTheme="minorHAnsi" w:cstheme="minorHAnsi"/>
        </w:rPr>
        <w:t>…….</w:t>
      </w:r>
      <w:proofErr w:type="gramEnd"/>
      <w:r w:rsidRPr="00570ED1">
        <w:rPr>
          <w:rFonts w:asciiTheme="minorHAnsi" w:hAnsiTheme="minorHAnsi" w:cstheme="minorHAnsi"/>
        </w:rPr>
        <w:t xml:space="preserve">., tel. ………………….. </w:t>
      </w:r>
      <w:r w:rsidRPr="00953CBE">
        <w:rPr>
          <w:rFonts w:asciiTheme="minorHAnsi" w:hAnsiTheme="minorHAnsi" w:cstheme="minorHAnsi"/>
        </w:rPr>
        <w:t xml:space="preserve">       </w:t>
      </w:r>
    </w:p>
    <w:p w14:paraId="4C808B53" w14:textId="77777777" w:rsidR="00490974" w:rsidRPr="00953CBE" w:rsidRDefault="00490974" w:rsidP="00490974">
      <w:pPr>
        <w:ind w:firstLine="360"/>
        <w:jc w:val="both"/>
        <w:rPr>
          <w:rFonts w:asciiTheme="minorHAnsi" w:hAnsiTheme="minorHAnsi" w:cstheme="minorHAnsi"/>
        </w:rPr>
      </w:pPr>
      <w:r>
        <w:rPr>
          <w:rFonts w:asciiTheme="minorHAnsi" w:hAnsiTheme="minorHAnsi" w:cstheme="minorHAnsi"/>
        </w:rPr>
        <w:t xml:space="preserve">Plátce / neplátce DPH </w:t>
      </w:r>
    </w:p>
    <w:p w14:paraId="7A6DC518" w14:textId="77777777" w:rsidR="00490974" w:rsidRPr="00953CBE" w:rsidRDefault="00490974" w:rsidP="00490974">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602F10AB" w14:textId="77777777" w:rsidR="00490974" w:rsidRDefault="00490974" w:rsidP="00490974">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1DE06B79"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1A5570" w:rsidRPr="001A5570">
        <w:rPr>
          <w:rFonts w:asciiTheme="minorHAnsi" w:hAnsiTheme="minorHAnsi" w:cstheme="minorHAnsi"/>
          <w:b/>
          <w:bCs/>
        </w:rPr>
        <w:t>celkem</w:t>
      </w:r>
      <w:r w:rsidR="001A5570">
        <w:rPr>
          <w:rFonts w:asciiTheme="minorHAnsi" w:hAnsiTheme="minorHAnsi" w:cstheme="minorHAnsi"/>
        </w:rPr>
        <w:t xml:space="preserve"> </w:t>
      </w:r>
      <w:r w:rsidR="001A5570">
        <w:rPr>
          <w:rFonts w:asciiTheme="minorHAnsi" w:hAnsiTheme="minorHAnsi" w:cstheme="minorHAnsi"/>
          <w:b/>
          <w:bCs/>
        </w:rPr>
        <w:t>5 kusů dataprojektorů dle technické specifikace</w:t>
      </w:r>
      <w:r w:rsidR="00996346">
        <w:rPr>
          <w:rFonts w:asciiTheme="minorHAnsi" w:hAnsiTheme="minorHAnsi" w:cstheme="minorHAnsi"/>
          <w:b/>
          <w:bCs/>
        </w:rPr>
        <w:t xml:space="preserve"> včetně náhradního plnění</w:t>
      </w:r>
      <w:bookmarkStart w:id="0" w:name="_GoBack"/>
      <w:bookmarkEnd w:id="0"/>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lastRenderedPageBreak/>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1CC22AA1" w14:textId="77777777" w:rsidR="00696CC5" w:rsidRPr="00965979" w:rsidRDefault="00696CC5" w:rsidP="00F7789E">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965979">
        <w:rPr>
          <w:rFonts w:asciiTheme="minorHAnsi" w:hAnsiTheme="minorHAnsi" w:cstheme="minorHAnsi"/>
          <w:i/>
          <w:iCs/>
          <w:caps/>
          <w:color w:val="FF0000"/>
        </w:rPr>
        <w:t xml:space="preserve">VARIANTA </w:t>
      </w:r>
      <w:proofErr w:type="gramStart"/>
      <w:r w:rsidRPr="00965979">
        <w:rPr>
          <w:rFonts w:asciiTheme="minorHAnsi" w:hAnsiTheme="minorHAnsi" w:cstheme="minorHAnsi"/>
          <w:i/>
          <w:iCs/>
          <w:caps/>
          <w:color w:val="FF0000"/>
        </w:rPr>
        <w:t xml:space="preserve">A - </w:t>
      </w:r>
      <w:r w:rsidRPr="00965979">
        <w:rPr>
          <w:rFonts w:asciiTheme="minorHAnsi" w:hAnsiTheme="minorHAnsi" w:cstheme="minorHAnsi"/>
          <w:i/>
          <w:iCs/>
          <w:color w:val="FF0000"/>
        </w:rPr>
        <w:t>pro</w:t>
      </w:r>
      <w:proofErr w:type="gramEnd"/>
      <w:r w:rsidRPr="00965979">
        <w:rPr>
          <w:rFonts w:asciiTheme="minorHAnsi" w:hAnsiTheme="minorHAnsi" w:cstheme="minorHAnsi"/>
          <w:i/>
          <w:iCs/>
          <w:color w:val="FF0000"/>
        </w:rPr>
        <w:t xml:space="preserve"> plátce DPH:</w:t>
      </w:r>
    </w:p>
    <w:p w14:paraId="5FEA2745" w14:textId="77777777" w:rsidR="00696CC5" w:rsidRPr="00965979" w:rsidRDefault="00696CC5" w:rsidP="008276FF">
      <w:pPr>
        <w:ind w:left="357"/>
        <w:jc w:val="both"/>
        <w:rPr>
          <w:rFonts w:asciiTheme="minorHAnsi" w:hAnsiTheme="minorHAnsi" w:cstheme="minorHAnsi"/>
        </w:rPr>
      </w:pPr>
      <w:r w:rsidRPr="00965979">
        <w:rPr>
          <w:rFonts w:asciiTheme="minorHAnsi" w:hAnsiTheme="minorHAnsi" w:cstheme="minorHAnsi"/>
        </w:rPr>
        <w:t>Kupní cena činí bez DPH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Kč (slovy: ………………… korun českých), DPH ve výši …… % je ………,</w:t>
      </w:r>
      <w:r w:rsidRPr="00965979">
        <w:rPr>
          <w:rFonts w:asciiTheme="minorHAnsi" w:hAnsiTheme="minorHAnsi" w:cstheme="minorHAnsi"/>
        </w:rPr>
        <w:noBreakHyphen/>
        <w:t> Kč a </w:t>
      </w:r>
      <w:r w:rsidRPr="00965979">
        <w:rPr>
          <w:rFonts w:asciiTheme="minorHAnsi" w:hAnsiTheme="minorHAnsi" w:cstheme="minorHAnsi"/>
          <w:b/>
          <w:bCs/>
        </w:rPr>
        <w:t>cena včetně DPH činí …………,</w:t>
      </w:r>
      <w:r w:rsidRPr="00965979">
        <w:rPr>
          <w:rFonts w:asciiTheme="minorHAnsi" w:hAnsiTheme="minorHAnsi" w:cstheme="minorHAnsi"/>
          <w:b/>
          <w:bCs/>
        </w:rPr>
        <w:noBreakHyphen/>
        <w:t> Kč</w:t>
      </w:r>
      <w:r w:rsidRPr="00965979">
        <w:rPr>
          <w:rFonts w:asciiTheme="minorHAnsi" w:hAnsiTheme="minorHAnsi" w:cstheme="minorHAnsi"/>
        </w:rPr>
        <w:t xml:space="preserve"> (slovy: ………………………… korun českých).</w:t>
      </w:r>
    </w:p>
    <w:p w14:paraId="34F17887" w14:textId="77777777"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 této smlouvy.</w:t>
      </w:r>
    </w:p>
    <w:p w14:paraId="2EA9B38D" w14:textId="77777777" w:rsidR="00696CC5" w:rsidRPr="00965979" w:rsidRDefault="00696CC5" w:rsidP="008276FF">
      <w:pPr>
        <w:spacing w:before="240"/>
        <w:ind w:left="357"/>
        <w:jc w:val="both"/>
        <w:rPr>
          <w:rFonts w:asciiTheme="minorHAnsi" w:hAnsiTheme="minorHAnsi" w:cstheme="minorHAnsi"/>
          <w:i/>
          <w:color w:val="FF0000"/>
        </w:rPr>
      </w:pPr>
      <w:r w:rsidRPr="00965979">
        <w:rPr>
          <w:rFonts w:asciiTheme="minorHAnsi" w:hAnsiTheme="minorHAnsi" w:cstheme="minorHAnsi"/>
          <w:i/>
          <w:color w:val="FF0000"/>
        </w:rPr>
        <w:t xml:space="preserve">VARIANTA </w:t>
      </w:r>
      <w:proofErr w:type="gramStart"/>
      <w:r w:rsidRPr="00965979">
        <w:rPr>
          <w:rFonts w:asciiTheme="minorHAnsi" w:hAnsiTheme="minorHAnsi" w:cstheme="minorHAnsi"/>
          <w:i/>
          <w:color w:val="FF0000"/>
        </w:rPr>
        <w:t>B - pro</w:t>
      </w:r>
      <w:proofErr w:type="gramEnd"/>
      <w:r w:rsidRPr="00965979">
        <w:rPr>
          <w:rFonts w:asciiTheme="minorHAnsi" w:hAnsiTheme="minorHAnsi" w:cstheme="minorHAnsi"/>
          <w:i/>
          <w:color w:val="FF0000"/>
        </w:rPr>
        <w:t xml:space="preserve"> neplátce DPH:</w:t>
      </w:r>
    </w:p>
    <w:p w14:paraId="3F5A0044" w14:textId="77777777" w:rsidR="00696CC5" w:rsidRPr="00965979" w:rsidRDefault="00696CC5" w:rsidP="008276FF">
      <w:pPr>
        <w:ind w:left="357"/>
        <w:jc w:val="both"/>
        <w:rPr>
          <w:rFonts w:asciiTheme="minorHAnsi" w:hAnsiTheme="minorHAnsi" w:cstheme="minorHAnsi"/>
          <w:bCs/>
          <w:spacing w:val="-6"/>
        </w:rPr>
      </w:pPr>
      <w:r w:rsidRPr="00965979">
        <w:rPr>
          <w:rFonts w:asciiTheme="minorHAnsi" w:hAnsiTheme="minorHAnsi" w:cstheme="minorHAnsi"/>
        </w:rPr>
        <w:t>Kupní cena zboží činí ……</w:t>
      </w:r>
      <w:proofErr w:type="gramStart"/>
      <w:r w:rsidRPr="00965979">
        <w:rPr>
          <w:rFonts w:asciiTheme="minorHAnsi" w:hAnsiTheme="minorHAnsi" w:cstheme="minorHAnsi"/>
        </w:rPr>
        <w:t>…,</w:t>
      </w:r>
      <w:r w:rsidRPr="00965979">
        <w:rPr>
          <w:rFonts w:asciiTheme="minorHAnsi" w:hAnsiTheme="minorHAnsi" w:cstheme="minorHAnsi"/>
        </w:rPr>
        <w:noBreakHyphen/>
      </w:r>
      <w:proofErr w:type="gramEnd"/>
      <w:r w:rsidRPr="00965979">
        <w:rPr>
          <w:rFonts w:asciiTheme="minorHAnsi" w:hAnsiTheme="minorHAnsi" w:cstheme="minorHAnsi"/>
        </w:rPr>
        <w:t xml:space="preserve"> Kč (slovy: ……………………… korun českých). </w:t>
      </w:r>
      <w:r w:rsidRPr="00965979">
        <w:rPr>
          <w:rFonts w:asciiTheme="minorHAnsi" w:hAnsiTheme="minorHAnsi" w:cstheme="minorHAnsi"/>
          <w:bCs/>
          <w:spacing w:val="-6"/>
        </w:rPr>
        <w:t xml:space="preserve">Prodávající </w:t>
      </w:r>
      <w:r w:rsidRPr="00965979">
        <w:rPr>
          <w:rFonts w:asciiTheme="minorHAnsi" w:hAnsiTheme="minorHAnsi" w:cstheme="minorHAnsi"/>
        </w:rPr>
        <w:t>prohlašuje</w:t>
      </w:r>
      <w:r w:rsidRPr="00965979">
        <w:rPr>
          <w:rFonts w:asciiTheme="minorHAnsi" w:hAnsiTheme="minorHAnsi" w:cstheme="minorHAnsi"/>
          <w:bCs/>
          <w:spacing w:val="-6"/>
        </w:rPr>
        <w:t>, že není plátcem DPH.</w:t>
      </w:r>
    </w:p>
    <w:p w14:paraId="3A940D23" w14:textId="0BB0ACE8" w:rsidR="00F74FEF" w:rsidRPr="00570ED1" w:rsidRDefault="00696CC5" w:rsidP="008276FF">
      <w:pPr>
        <w:widowControl w:val="0"/>
        <w:ind w:left="357"/>
        <w:jc w:val="both"/>
        <w:rPr>
          <w:rFonts w:asciiTheme="minorHAnsi" w:hAnsiTheme="minorHAnsi" w:cstheme="minorHAnsi"/>
          <w:iCs/>
        </w:rPr>
      </w:pPr>
      <w:r w:rsidRPr="00570ED1">
        <w:rPr>
          <w:rFonts w:asciiTheme="minorHAnsi" w:hAnsiTheme="minorHAnsi" w:cstheme="minorHAnsi"/>
          <w:i/>
        </w:rPr>
        <w:t>Podrobný rozpis kupní ceny je uveden v příloze č. … 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 xml:space="preserve">Volgogradská </w:t>
      </w:r>
      <w:proofErr w:type="gramStart"/>
      <w:r w:rsidR="003F2291">
        <w:rPr>
          <w:rFonts w:asciiTheme="minorHAnsi" w:hAnsiTheme="minorHAnsi" w:cstheme="minorHAnsi"/>
        </w:rPr>
        <w:t>6a</w:t>
      </w:r>
      <w:proofErr w:type="gramEnd"/>
      <w:r w:rsidR="003F2291">
        <w:rPr>
          <w:rFonts w:asciiTheme="minorHAnsi" w:hAnsiTheme="minorHAnsi" w:cstheme="minorHAnsi"/>
        </w:rPr>
        <w:t>,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lastRenderedPageBreak/>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lastRenderedPageBreak/>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lastRenderedPageBreak/>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Je-li prodávající plátcem DPH, kupující uplatní institut zvláštního způsobu zajištění daně dle § </w:t>
      </w:r>
      <w:proofErr w:type="gramStart"/>
      <w:r w:rsidRPr="00E2040D">
        <w:rPr>
          <w:rFonts w:asciiTheme="minorHAnsi" w:hAnsiTheme="minorHAnsi" w:cstheme="minorHAnsi"/>
        </w:rPr>
        <w:t>109a</w:t>
      </w:r>
      <w:proofErr w:type="gramEnd"/>
      <w:r w:rsidRPr="00E2040D">
        <w:rPr>
          <w:rFonts w:asciiTheme="minorHAnsi" w:hAnsiTheme="minorHAnsi" w:cstheme="minorHAnsi"/>
        </w:rPr>
        <w:t xml:space="preserve">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Pr="00570ED1">
        <w:rPr>
          <w:rFonts w:asciiTheme="minorHAnsi" w:hAnsiTheme="minorHAnsi" w:cstheme="minorHAnsi"/>
        </w:rPr>
        <w:t>……</w:t>
      </w:r>
      <w:r w:rsidRPr="00576916">
        <w:rPr>
          <w:rFonts w:asciiTheme="minorHAnsi" w:hAnsiTheme="minorHAnsi" w:cstheme="minorHAnsi"/>
        </w:rPr>
        <w:t xml:space="preserve"> měsíců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t>…………………………</w:t>
      </w:r>
    </w:p>
    <w:p w14:paraId="1ED2ADC5"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t>…………………………</w:t>
      </w:r>
    </w:p>
    <w:p w14:paraId="136125D4" w14:textId="77777777"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t>…………………………</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lastRenderedPageBreak/>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lastRenderedPageBreak/>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5"/>
        <w:gridCol w:w="1728"/>
        <w:gridCol w:w="3517"/>
      </w:tblGrid>
      <w:tr w:rsidR="00B875FD" w:rsidRPr="009E5DD7" w14:paraId="59A5DCF4" w14:textId="77777777" w:rsidTr="00D21352">
        <w:tc>
          <w:tcPr>
            <w:tcW w:w="3420" w:type="dxa"/>
          </w:tcPr>
          <w:p w14:paraId="3181F3D0" w14:textId="06814F9F"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77777777"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 dne ………………</w:t>
            </w:r>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headerReference w:type="first" r:id="rId9"/>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67EA" w14:textId="77777777" w:rsidR="00A62F5B" w:rsidRDefault="00A62F5B">
      <w:r>
        <w:separator/>
      </w:r>
    </w:p>
  </w:endnote>
  <w:endnote w:type="continuationSeparator" w:id="0">
    <w:p w14:paraId="137F96DC" w14:textId="77777777" w:rsidR="00A62F5B" w:rsidRDefault="00A6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93C9" w14:textId="77777777" w:rsidR="00A62F5B" w:rsidRDefault="00A62F5B">
      <w:r>
        <w:separator/>
      </w:r>
    </w:p>
  </w:footnote>
  <w:footnote w:type="continuationSeparator" w:id="0">
    <w:p w14:paraId="0E6829A0" w14:textId="77777777" w:rsidR="00A62F5B" w:rsidRDefault="00A6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301"/>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570"/>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038"/>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392"/>
    <w:rsid w:val="00872B0E"/>
    <w:rsid w:val="008846D9"/>
    <w:rsid w:val="00891D0E"/>
    <w:rsid w:val="00893183"/>
    <w:rsid w:val="0089370F"/>
    <w:rsid w:val="00894DE2"/>
    <w:rsid w:val="00895B5B"/>
    <w:rsid w:val="008966C4"/>
    <w:rsid w:val="008970AD"/>
    <w:rsid w:val="008A0274"/>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6346"/>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503C0"/>
    <w:rsid w:val="00B61326"/>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3236D"/>
    <w:rsid w:val="00D3256D"/>
    <w:rsid w:val="00D346A2"/>
    <w:rsid w:val="00D37AFA"/>
    <w:rsid w:val="00D40689"/>
    <w:rsid w:val="00D41F90"/>
    <w:rsid w:val="00D43BA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4E0B"/>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FF48-D4D7-463A-A194-FBD48107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2795</Words>
  <Characters>15586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dc:creator>
  <cp:lastModifiedBy>Vít Schindler</cp:lastModifiedBy>
  <cp:revision>7</cp:revision>
  <cp:lastPrinted>2018-04-05T14:02:00Z</cp:lastPrinted>
  <dcterms:created xsi:type="dcterms:W3CDTF">2022-05-30T13:39:00Z</dcterms:created>
  <dcterms:modified xsi:type="dcterms:W3CDTF">2022-11-04T08:08:00Z</dcterms:modified>
</cp:coreProperties>
</file>